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E7CE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96E534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bookmarkStart w:id="10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徐南供电所10KV银海线72#-73#架空改电缆入地工程工程土建项目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bookmarkEnd w:id="10"/>
    <w:p w14:paraId="7ED9DB8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徐南供电所10KV银海线72#-73#架空改电缆入地工程工程土建项目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017F2AE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9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154"/>
        <w:gridCol w:w="4732"/>
        <w:gridCol w:w="859"/>
        <w:gridCol w:w="996"/>
        <w:gridCol w:w="1118"/>
      </w:tblGrid>
      <w:tr w14:paraId="51DB8B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8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F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DCF4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B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方井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9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内径1.3*1.3*1m，详见图纸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B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E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93E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7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顶管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2*200*12MPP，详见图纸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0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A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212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电杆杆跺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1.2m×1.2m×0.8m，详见图纸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5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1555E7D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4E9B838B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7F68ACD2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02B958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08C2B7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E033E1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4545453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0E60B1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3753060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2B59D88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2EF54DA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584271A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17289E9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28C3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78AFC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35930.00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 w14:paraId="6713B45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7C1D5E2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75195F8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638FC8F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034A2C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6A34044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3F77AD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433F4A2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7B8868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5173802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1D88C0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013EB1C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18FA6D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0F167FA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项目联系人：杨先生           电话：15312133933</w:t>
      </w:r>
    </w:p>
    <w:p w14:paraId="1120DC64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BC07C90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日</w:t>
      </w:r>
    </w:p>
    <w:p w14:paraId="74900465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493EE25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DB15A1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5E0FBF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73E515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7A6C99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E37548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32AFA0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AFD58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6、依法缴纳税收的记录（2024年内三个月【税收所属日期】）（加盖公章）</w:t>
      </w:r>
    </w:p>
    <w:p w14:paraId="2D7A5A8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5AFDAE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6A50054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A9859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A89DB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667EE2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3C3E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942403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FB568A6">
      <w:pPr>
        <w:pStyle w:val="8"/>
        <w:rPr>
          <w:rFonts w:hint="eastAsia" w:ascii="宋体" w:hAnsi="宋体" w:cs="宋体"/>
          <w:sz w:val="24"/>
        </w:rPr>
      </w:pPr>
    </w:p>
    <w:p w14:paraId="4EDC596E">
      <w:pPr>
        <w:pStyle w:val="8"/>
        <w:rPr>
          <w:rFonts w:hint="eastAsia" w:ascii="宋体" w:hAnsi="宋体" w:cs="宋体"/>
          <w:sz w:val="24"/>
        </w:rPr>
      </w:pPr>
    </w:p>
    <w:p w14:paraId="7EC3276A">
      <w:pPr>
        <w:pStyle w:val="8"/>
        <w:rPr>
          <w:rFonts w:hint="eastAsia" w:ascii="宋体" w:hAnsi="宋体" w:cs="宋体"/>
          <w:sz w:val="24"/>
        </w:rPr>
      </w:pPr>
    </w:p>
    <w:p w14:paraId="107915E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9A929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9615">
      <w:pPr>
        <w:pStyle w:val="8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0341F2D5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B46404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24FFBE6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9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53B47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3DD5F0F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6966DA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20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3A0C81E1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7607B28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4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EFABDE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3F89B80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20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3DE38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6FED40D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AD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3E5C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6A3F7D4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2E9FB6D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5D6A2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C98001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233F81F9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E50D3F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7A3A7078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CF48CAC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03759838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21BE86B2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23FAD5D3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7AD335E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1AFF94A3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BBCF6CE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7376"/>
      <w:bookmarkStart w:id="4" w:name="_Toc62734871"/>
      <w:bookmarkStart w:id="5" w:name="_Toc60818732"/>
      <w:bookmarkStart w:id="6" w:name="_Toc61871372"/>
      <w:bookmarkStart w:id="7" w:name="_Toc61871288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F12CAA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3ED3DC">
      <w:pPr>
        <w:pStyle w:val="8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CD4AFF4">
      <w:pPr>
        <w:pStyle w:val="8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B56F17D">
      <w:pPr>
        <w:pStyle w:val="8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47C2892">
      <w:pPr>
        <w:pStyle w:val="8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BA907E">
      <w:pPr>
        <w:pStyle w:val="8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8C1BDF">
      <w:pPr>
        <w:pStyle w:val="8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A339D15">
      <w:pPr>
        <w:pStyle w:val="8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772AB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FAE4F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14CF46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B40F7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42F4AD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F7E4E4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D15279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5ED74B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2D07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3A836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6E7F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E1AEC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F6ADD6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800A7E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191D751F">
      <w:pPr>
        <w:bidi w:val="0"/>
        <w:jc w:val="center"/>
        <w:rPr>
          <w:b/>
          <w:sz w:val="36"/>
        </w:rPr>
      </w:pPr>
    </w:p>
    <w:p w14:paraId="0CAFFC6F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6921CAEF">
      <w:pPr>
        <w:bidi w:val="0"/>
        <w:spacing w:line="440" w:lineRule="exact"/>
        <w:ind w:firstLine="610"/>
        <w:rPr>
          <w:sz w:val="24"/>
        </w:rPr>
      </w:pPr>
    </w:p>
    <w:p w14:paraId="45581C3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7DE8CDA0">
      <w:pPr>
        <w:bidi w:val="0"/>
        <w:spacing w:line="440" w:lineRule="exact"/>
        <w:ind w:firstLine="610"/>
        <w:rPr>
          <w:sz w:val="24"/>
        </w:rPr>
      </w:pPr>
    </w:p>
    <w:p w14:paraId="6E46556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210FAF6C">
      <w:pPr>
        <w:bidi w:val="0"/>
        <w:spacing w:line="440" w:lineRule="exact"/>
        <w:ind w:firstLine="610"/>
        <w:rPr>
          <w:sz w:val="24"/>
        </w:rPr>
      </w:pPr>
    </w:p>
    <w:p w14:paraId="659EE13F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FA65F39">
      <w:pPr>
        <w:bidi w:val="0"/>
        <w:spacing w:line="440" w:lineRule="exact"/>
        <w:ind w:firstLine="610"/>
        <w:rPr>
          <w:sz w:val="24"/>
        </w:rPr>
      </w:pPr>
    </w:p>
    <w:p w14:paraId="7A3DC6C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AA32C47">
      <w:pPr>
        <w:bidi w:val="0"/>
        <w:spacing w:line="440" w:lineRule="exact"/>
        <w:ind w:firstLine="610"/>
        <w:rPr>
          <w:sz w:val="24"/>
        </w:rPr>
      </w:pPr>
    </w:p>
    <w:p w14:paraId="5849DE3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2BF8923A">
      <w:pPr>
        <w:bidi w:val="0"/>
        <w:spacing w:line="440" w:lineRule="exact"/>
        <w:ind w:firstLine="610"/>
        <w:rPr>
          <w:sz w:val="24"/>
        </w:rPr>
      </w:pPr>
    </w:p>
    <w:p w14:paraId="091BB55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501C95B5">
      <w:pPr>
        <w:bidi w:val="0"/>
        <w:spacing w:line="440" w:lineRule="exact"/>
        <w:ind w:firstLine="610"/>
        <w:rPr>
          <w:sz w:val="24"/>
        </w:rPr>
      </w:pPr>
    </w:p>
    <w:p w14:paraId="0B58F48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F01316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374FCDD3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22182F2A">
      <w:pPr>
        <w:bidi w:val="0"/>
        <w:spacing w:line="440" w:lineRule="exact"/>
        <w:rPr>
          <w:rFonts w:hint="eastAsia"/>
          <w:sz w:val="24"/>
        </w:rPr>
      </w:pPr>
    </w:p>
    <w:p w14:paraId="46079571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2928740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A13B13C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464A26D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263622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179DD40D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2B3FDE9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4AC5001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7FDEAE96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8B9078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F4A5BA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611629E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4CD8F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A06EE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FA08B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56E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4B43B6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6B5C3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3C17F5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DB5A1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406B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39026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E0014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6408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77B4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6C0D7F3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0B77941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D96125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963C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8B718A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B06B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96F99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808ED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D43F2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A6984CD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F8D7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9ABDE5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D6504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7ED1F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6、依法缴纳税收的记录（2024年内三个月【税收所属日期】）（加盖公章）</w:t>
      </w:r>
    </w:p>
    <w:p w14:paraId="2272D6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B07C2F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6D92E7B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891F8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337891F8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BA1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CCBA1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738755"/>
            <wp:effectExtent l="0" t="0" r="6985" b="444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D0A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08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2408D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7B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4D47B5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54300"/>
            <wp:effectExtent l="0" t="0" r="1905" b="1270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C915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50E114A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21D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F99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0F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112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63F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3F6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1F51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033F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DBE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104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1BD9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0C94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F4C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282D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0AA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92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5CC5C5F4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7D207975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CE9C81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14B66D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0C5D65F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3AD0CB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40FE0EB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FEDE7C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36E6A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1F6B2B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1618FF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8D9219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30319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286DF9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954E3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AB4C5B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3419B"/>
    <w:rsid w:val="28CD567C"/>
    <w:rsid w:val="292D0766"/>
    <w:rsid w:val="29475CCC"/>
    <w:rsid w:val="29583A35"/>
    <w:rsid w:val="2A143BA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0921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3A19C7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087F80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66300C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4055F8C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9D72E5C"/>
    <w:rsid w:val="7A146AD1"/>
    <w:rsid w:val="7A99050A"/>
    <w:rsid w:val="7AE5230C"/>
    <w:rsid w:val="7B1B6C2F"/>
    <w:rsid w:val="7B410C9A"/>
    <w:rsid w:val="7B49615E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tabs>
        <w:tab w:val="left" w:pos="765"/>
      </w:tabs>
      <w:ind w:firstLine="420" w:firstLineChars="200"/>
    </w:p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  <w:color w:val="787878"/>
      <w:sz w:val="18"/>
      <w:szCs w:val="18"/>
    </w:rPr>
  </w:style>
  <w:style w:type="character" w:styleId="13">
    <w:name w:val="FollowedHyperlink"/>
    <w:basedOn w:val="11"/>
    <w:qFormat/>
    <w:uiPriority w:val="99"/>
    <w:rPr>
      <w:rFonts w:cs="Times New Roman"/>
      <w:color w:val="666666"/>
      <w:u w:val="none"/>
    </w:rPr>
  </w:style>
  <w:style w:type="character" w:styleId="14">
    <w:name w:val="Emphasis"/>
    <w:basedOn w:val="11"/>
    <w:qFormat/>
    <w:uiPriority w:val="99"/>
    <w:rPr>
      <w:rFonts w:cs="Times New Roman"/>
    </w:rPr>
  </w:style>
  <w:style w:type="character" w:styleId="15">
    <w:name w:val="HTML Definition"/>
    <w:basedOn w:val="11"/>
    <w:qFormat/>
    <w:uiPriority w:val="99"/>
    <w:rPr>
      <w:rFonts w:cs="Times New Roman"/>
    </w:rPr>
  </w:style>
  <w:style w:type="character" w:styleId="16">
    <w:name w:val="HTML Variable"/>
    <w:basedOn w:val="11"/>
    <w:qFormat/>
    <w:uiPriority w:val="99"/>
    <w:rPr>
      <w:rFonts w:cs="Times New Roman"/>
    </w:rPr>
  </w:style>
  <w:style w:type="character" w:styleId="17">
    <w:name w:val="Hyperlink"/>
    <w:basedOn w:val="11"/>
    <w:qFormat/>
    <w:uiPriority w:val="99"/>
    <w:rPr>
      <w:rFonts w:cs="Times New Roman"/>
      <w:color w:val="666666"/>
      <w:u w:val="none"/>
    </w:rPr>
  </w:style>
  <w:style w:type="character" w:styleId="18">
    <w:name w:val="HTML Cite"/>
    <w:basedOn w:val="11"/>
    <w:qFormat/>
    <w:uiPriority w:val="99"/>
    <w:rPr>
      <w:rFonts w:cs="Times New Roman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font2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5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3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2802</Words>
  <Characters>3092</Characters>
  <Lines>0</Lines>
  <Paragraphs>0</Paragraphs>
  <TotalTime>23</TotalTime>
  <ScaleCrop>false</ScaleCrop>
  <LinksUpToDate>false</LinksUpToDate>
  <CharactersWithSpaces>3545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2024-12-06T09:05:53Z</cp:lastPrinted>
  <dcterms:modified xsi:type="dcterms:W3CDTF">2024-12-06T09:25:55Z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