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灌西供电所营业大厅搬迁改造采购集成房项目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灌西供电所营业大厅搬迁改造采购集成房项目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7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4"/>
        <w:gridCol w:w="2700"/>
        <w:gridCol w:w="1432"/>
        <w:gridCol w:w="1172"/>
        <w:gridCol w:w="2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集成房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具体材料见附件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40600.00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>
      <w:pPr>
        <w:pStyle w:val="6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6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6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6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ind w:right="-15" w:rightChars="-7"/>
        <w:jc w:val="both"/>
        <w:outlineLvl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附件：</w:t>
      </w:r>
    </w:p>
    <w:p>
      <w:pPr>
        <w:ind w:right="-15" w:rightChars="-7"/>
        <w:jc w:val="both"/>
        <w:outlineLvl w:val="2"/>
        <w:rPr>
          <w:rFonts w:hint="default" w:ascii="宋体" w:hAnsi="宋体"/>
          <w:b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附件一：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集成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房材料单</w:t>
      </w:r>
    </w:p>
    <w:tbl>
      <w:tblPr>
        <w:tblStyle w:val="7"/>
        <w:tblpPr w:leftFromText="180" w:rightFromText="180" w:vertAnchor="text" w:horzAnchor="page" w:tblpX="1169" w:tblpY="612"/>
        <w:tblOverlap w:val="never"/>
        <w:tblW w:w="9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830"/>
        <w:gridCol w:w="3675"/>
        <w:gridCol w:w="33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規格：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宽</w:t>
            </w:r>
            <w:r>
              <w:rPr>
                <w:rFonts w:hint="default" w:ascii="Arial" w:hAnsi="Arial" w:cs="Arial"/>
                <w:color w:val="000000"/>
                <w:spacing w:val="0"/>
                <w:w w:val="100"/>
                <w:position w:val="0"/>
                <w:highlight w:val="none"/>
              </w:rPr>
              <w:t>×</w:t>
            </w:r>
            <w:r>
              <w:rPr>
                <w:rFonts w:hint="eastAsia" w:ascii="Arial" w:hAnsi="Arial" w:cs="Arial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7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米长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 w:firstLineChars="49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数量：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1 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highlight w:val="none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物资名称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highlight w:val="none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型号規格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20" w:right="0" w:firstLine="0"/>
              <w:jc w:val="center"/>
              <w:rPr>
                <w:highlight w:val="none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详细说明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、结构主体（专用钢结构系统，使用寿命</w:t>
            </w:r>
            <w:r>
              <w:rPr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年保证房屋的安全性）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80*160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 w:firstLineChars="25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40*60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100*100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40*80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50*100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20*20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二、外围护系统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（施工工艺，气密性、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外墙板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金属雕花板（颜色可选）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(含聚氨酯防火保温棉)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房顶防雨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镀锌方管龙骨骨架+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镀锌钢板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沥青瓦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肯德基门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铝合金2.5mm  玻璃0.8mm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窗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断桥铝窗双钢化玻璃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配金刚纱网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窗户尺寸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前窗1300mmx1500mm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后窗600mmx1200mm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门尺寸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肯德基门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1600mmx2200mm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室内门980x2100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三、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勾装系统（防火、零甲酵、舒适度优良）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内</w:t>
            </w:r>
            <w:r>
              <w:rPr>
                <w:color w:val="000000"/>
                <w:spacing w:val="0"/>
                <w:w w:val="100"/>
                <w:position w:val="0"/>
              </w:rPr>
              <w:t>墙板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集成墙板竹木纤维40板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防腐蚀、绿色环保、防水、抗污染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吊顶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石塑板吊顶</w:t>
            </w:r>
            <w:r>
              <w:rPr>
                <w:color w:val="000000"/>
                <w:spacing w:val="0"/>
                <w:w w:val="100"/>
                <w:position w:val="0"/>
              </w:rPr>
              <w:t>及附配件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防火.防潮.隔热.耐腐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地面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—体式框架镀锌方管焊接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+水泥压力板+复合木地板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瓷砖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保温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防火岩棉保温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20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5公分厚度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真石漆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隔断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木龙骨+钢龙骨结合使用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8公分厚度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pos="4125"/>
                <w:tab w:val="left" w:pos="9525"/>
              </w:tabs>
              <w:bidi w:val="0"/>
              <w:spacing w:before="0" w:after="0" w:line="240" w:lineRule="auto"/>
              <w:ind w:left="0" w:right="0" w:firstLine="240" w:firstLineChars="1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四、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eastAsia="zh-CN"/>
              </w:rPr>
              <w:t>灯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电源开关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单控开关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五孔插座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二三眼插座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优质插座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照明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室内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LED</w:t>
            </w:r>
            <w:r>
              <w:rPr>
                <w:color w:val="000000"/>
                <w:spacing w:val="0"/>
                <w:w w:val="100"/>
                <w:position w:val="0"/>
              </w:rPr>
              <w:t>吸顶灯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电线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4平方电源  6平方进户线 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国标</w:t>
            </w:r>
          </w:p>
        </w:tc>
      </w:tr>
    </w:tbl>
    <w:p>
      <w:pPr>
        <w:rPr>
          <w:rFonts w:hint="eastAsia" w:ascii="宋体" w:hAnsi="宋体"/>
          <w:b/>
          <w:color w:val="000000"/>
          <w:szCs w:val="21"/>
        </w:rPr>
      </w:pPr>
    </w:p>
    <w:p>
      <w:pPr>
        <w:rPr>
          <w:rFonts w:hint="eastAsia" w:ascii="宋体" w:hAnsi="宋体"/>
          <w:b/>
          <w:color w:val="000000"/>
          <w:szCs w:val="21"/>
        </w:rPr>
      </w:pPr>
    </w:p>
    <w:p>
      <w:pPr>
        <w:rPr>
          <w:rFonts w:hint="eastAsia" w:ascii="宋体" w:hAnsi="宋体"/>
          <w:b/>
          <w:color w:val="000000"/>
          <w:szCs w:val="21"/>
        </w:rPr>
      </w:pPr>
    </w:p>
    <w:p>
      <w:pPr>
        <w:rPr>
          <w:rFonts w:hint="eastAsia" w:ascii="宋体" w:hAnsi="宋体" w:eastAsia="宋体"/>
          <w:b/>
          <w:color w:val="000000"/>
          <w:szCs w:val="21"/>
          <w:lang w:eastAsia="zh-CN"/>
        </w:rPr>
      </w:pPr>
    </w:p>
    <w:p>
      <w:pPr>
        <w:ind w:right="-15" w:rightChars="-7"/>
        <w:jc w:val="both"/>
        <w:outlineLvl w:val="2"/>
        <w:rPr>
          <w:rFonts w:hint="default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213360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样图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16.8pt;height:144pt;width:144pt;mso-wrap-style:none;z-index:251664384;mso-width-relative:page;mso-height-relative:page;" filled="f" stroked="f" coordsize="21600,21600" o:gfxdata="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aFY8a2AAAAAoBAAAPAAAAAAAAAAEAIAAAACIAAABkcnMvZG93bnJl&#10;di54bWxQSwECFAAUAAAACACHTuJApXEPuD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样图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624840</wp:posOffset>
            </wp:positionV>
            <wp:extent cx="5400040" cy="3002280"/>
            <wp:effectExtent l="0" t="0" r="10160" b="7620"/>
            <wp:wrapSquare wrapText="bothSides"/>
            <wp:docPr id="4" name="图片 4" descr="微信图片_2024072209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22094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附件二：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7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7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both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5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6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14F0102"/>
    <w:rsid w:val="3207424B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E84255E"/>
    <w:rsid w:val="5E912503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86C2DCF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957E17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9">
    <w:name w:val="Hyperlink"/>
    <w:basedOn w:val="8"/>
    <w:autoRedefine/>
    <w:qFormat/>
    <w:uiPriority w:val="99"/>
    <w:rPr>
      <w:rFonts w:cs="Times New Roman"/>
      <w:color w:val="666666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8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3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8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9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3541</Words>
  <Characters>3966</Characters>
  <Lines>0</Lines>
  <Paragraphs>0</Paragraphs>
  <TotalTime>10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2024-08-14T08:58:32Z</cp:lastPrinted>
  <dcterms:modified xsi:type="dcterms:W3CDTF">2024-08-14T08:58:35Z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