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徐南板桥街道安全隐患整改、灌西日常备库采购工器具、金具辅材项目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徐南板桥街道安全隐患整改、灌西日常备库采购工器具、金具辅材项目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6"/>
        <w:tblW w:w="10391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59"/>
        <w:gridCol w:w="4609"/>
        <w:gridCol w:w="846"/>
        <w:gridCol w:w="736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普通螺栓，M10.50mm,铁，镀锌，配两平垫一弹簧垫螺母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普通螺栓，M12.50mm,铁，镀锌，配两平垫一弹簧垫螺母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普通螺栓，M10.30mm,铁，镀锌，配两平垫一弹簧垫螺母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不锈钢，高度20cm，风叶长度20cm，旋转直径40cm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螺杆，双头M16,280mm，镀锌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针式复合支柱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0.4kV电缆终端，4*120，户外终端，冷缩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电缆接线端子，铜铝过渡，120mm2，单孔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型号：BVR，导体材质：截mm2:35，芯数：1双色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电缆接线端子，铜铝过渡，50mm2，单孔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异型铝并沟线夹，JBL-240/50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柱式绝缘子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PS-15/500(瓷)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M16*250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210-加强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Z-7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避雷器安装板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普通螺栓，M16.120mm,铁，镀锌，配两平垫一弹簧垫螺母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普通螺栓，M16.180mm,铁，镀锌，配两平垫一弹簧垫螺母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0.4kV电缆终端，4*150，户外终端，冷缩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0.4kV电缆终端，4*240，户外终端，冷缩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0.4kV户外冷缩终端附件：延长管，冷缩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φ250*60*6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材质：PVC,颜色：黄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材质：PVC,颜色：绿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材质：PVC,颜色：红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电工胶带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材质：PVC,颜色：蓝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燕尾螺丝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4.8*20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105*1.2*16mm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徐南板桥街道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铝并沟线夹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JB-1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BV-35导体材质:铜,标称截面mm²:35,芯数:单股,外皮材质:聚氯乙烯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铝接户线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JKLYJ-1KV-2*16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BV-4（绿色）导体材质:铜,标称截面mm²:4,芯数:单股,外皮材质:聚氯乙烯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BV-4（黄色）导体材质:铜,标称截面mm²:4,芯数:单股,外皮材质:聚氯乙烯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高压熔丝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高压熔丝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CDM3L-160F/4340A 160A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CDM3L-315F/4340A 315A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DZ47SLE/2PC63A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规格：DT-150，铜,150mm2,单孔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规格：DTL-95,铜铝过渡,95mm2,单孔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规格：DTL-150,铜铝过渡,150mm2,单孔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规格：DTL-185,铜铝过渡,185mm2,单孔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规格：DTL-70,铜铝过渡,70mm2,单孔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规格：DTL-120,铜铝过渡,120mm2,单孔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规格：DT-120，铜,120mm2,单孔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10KV户外跌落式熔断器熔管部分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RW11--200A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型熔管，含拉环、上下触头等部分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设备线夹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SYG-50-240mm2/B 型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钢芯铝绞线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LGJ--50/8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护套线-型号:4平方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导电膏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DG-1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电压等级:AC1kV,规格150mm2--240mm2,电缆芯数:4芯,类型:户外终端,种类:冷缩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灌西日常备库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砂轮片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107*1.2*16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厚6mm，宽1米，材质：橡胶，颜色：黑色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变电所用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单面胶手套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材质：棉纱浸胶，材质要求：加厚棉纱，手指手掌浸胶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大锤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18磅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钳形万用表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SK211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世达；德力西；优利德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世达；保联；绿林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世达；绿林；德力西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螺丝刀（十字）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长250mm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世达；保联；德力西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螺丝刀（一字）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长250mm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世达；保联；德力西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德力西铝合金含刀片3363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德力西；艾瑞泽；世达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东成(4.0Ah2电1充)488E标准；德力西(无刷扭力王850N)10节5.0AH2电1充；威克士（5.0Ah双电）冲击扳手WU279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东成；德力西；威克士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电工包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感应式测电笔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非接触感应测电笔DWDB-2340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世达；绿林；德力西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剥皮钳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BX-30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铸达；环拓；品臣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电动液压钳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东成DCYH300（双电6.0）；德力西二合一液压钳剪300+7.5A两电一充；德克DYQ-300B(16-300MM²二电一充5.0Ah)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东成；德力西；德克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警示牌，搪瓷，320×220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警示信息：“高压危险  禁止垂钓”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环氧树脂绝缘板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1.2m*2.4m*厚3mm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更换配电箱底板</w:t>
            </w:r>
          </w:p>
        </w:tc>
      </w:tr>
      <w:bookmarkEnd w:id="0"/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1-76项报价须包含材料装卸费用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第1-33项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08月14日前供货；其他项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8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73842.00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bookmarkStart w:id="6" w:name="_GoBack"/>
      <w:bookmarkEnd w:id="6"/>
      <w:r>
        <w:rPr>
          <w:rFonts w:hint="eastAsia" w:ascii="宋体" w:hAnsi="宋体" w:cs="宋体"/>
          <w:sz w:val="24"/>
          <w:lang w:val="en-US" w:eastAsia="zh-CN"/>
        </w:rPr>
        <w:t xml:space="preserve">灌西武先生               电话：18761307358                 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2734871"/>
      <w:bookmarkStart w:id="2" w:name="_Toc60818732"/>
      <w:bookmarkStart w:id="3" w:name="_Toc61877376"/>
      <w:bookmarkStart w:id="4" w:name="_Toc61871288"/>
      <w:bookmarkStart w:id="5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1B3CF0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5757BF7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2D73F8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403C77B5"/>
    <w:rsid w:val="40607F6D"/>
    <w:rsid w:val="410B7187"/>
    <w:rsid w:val="415E50F6"/>
    <w:rsid w:val="41AF1F3C"/>
    <w:rsid w:val="41FF6CEC"/>
    <w:rsid w:val="42BD2703"/>
    <w:rsid w:val="432A2A77"/>
    <w:rsid w:val="43BC118A"/>
    <w:rsid w:val="43D20E34"/>
    <w:rsid w:val="443C1296"/>
    <w:rsid w:val="46484EAD"/>
    <w:rsid w:val="478A6A61"/>
    <w:rsid w:val="484511D1"/>
    <w:rsid w:val="49072CFA"/>
    <w:rsid w:val="492B6619"/>
    <w:rsid w:val="49955009"/>
    <w:rsid w:val="4A3E68EF"/>
    <w:rsid w:val="4B776C64"/>
    <w:rsid w:val="4CAC7A71"/>
    <w:rsid w:val="4EB27EB6"/>
    <w:rsid w:val="4EB9349A"/>
    <w:rsid w:val="4F936CC6"/>
    <w:rsid w:val="4FCB2904"/>
    <w:rsid w:val="51DC0DF8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D1D618E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99"/>
    <w:rPr>
      <w:rFonts w:cs="Times New Roman"/>
      <w:color w:val="666666"/>
      <w:u w:val="none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5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7"/>
    <w:uiPriority w:val="0"/>
    <w:rPr>
      <w:rFonts w:hint="default" w:ascii="Tahoma" w:hAnsi="Tahoma" w:eastAsia="Tahoma" w:cs="Tahom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3541</Words>
  <Characters>3966</Characters>
  <Lines>0</Lines>
  <Paragraphs>0</Paragraphs>
  <TotalTime>279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2024-07-26T06:36:00Z</cp:lastPrinted>
  <dcterms:modified xsi:type="dcterms:W3CDTF">2024-08-07T07:57:32Z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